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F6DE" w14:textId="77777777" w:rsidR="00A930C5" w:rsidRDefault="00A930C5">
      <w:r>
        <w:t>Thompson Coburn Title IX Training Materials Used With Permission</w:t>
      </w:r>
    </w:p>
    <w:p w14:paraId="14F6B9F9" w14:textId="77777777" w:rsidR="002F2059" w:rsidRDefault="002F2059" w:rsidP="002F2059">
      <w:pPr>
        <w:pStyle w:val="Heading1"/>
        <w:shd w:val="clear" w:color="auto" w:fill="00A3AD"/>
        <w:rPr>
          <w:rFonts w:ascii="Arial" w:hAnsi="Arial" w:cs="Arial"/>
          <w:b w:val="0"/>
          <w:bCs w:val="0"/>
          <w:color w:val="FFFFFF"/>
          <w:sz w:val="68"/>
          <w:szCs w:val="68"/>
        </w:rPr>
      </w:pPr>
      <w:r>
        <w:rPr>
          <w:rFonts w:ascii="Arial" w:hAnsi="Arial" w:cs="Arial"/>
          <w:b w:val="0"/>
          <w:bCs w:val="0"/>
          <w:color w:val="FFFFFF"/>
          <w:sz w:val="68"/>
          <w:szCs w:val="68"/>
        </w:rPr>
        <w:t>Thompson Coburn releases free Title IX training series for institutions of Higher Education</w:t>
      </w:r>
    </w:p>
    <w:p w14:paraId="584951A8" w14:textId="77777777" w:rsidR="002F2059" w:rsidRDefault="002F2059" w:rsidP="002F2059">
      <w:pPr>
        <w:shd w:val="clear" w:color="auto" w:fill="00A3AD"/>
        <w:rPr>
          <w:rFonts w:ascii="Arial" w:hAnsi="Arial" w:cs="Arial"/>
          <w:color w:val="231F20"/>
          <w:sz w:val="15"/>
          <w:szCs w:val="15"/>
        </w:rPr>
      </w:pPr>
      <w:r>
        <w:rPr>
          <w:rFonts w:ascii="Arial" w:hAnsi="Arial" w:cs="Arial"/>
          <w:color w:val="231F20"/>
          <w:sz w:val="15"/>
          <w:szCs w:val="15"/>
        </w:rPr>
        <w:t> </w:t>
      </w:r>
      <w:hyperlink r:id="rId5" w:history="1">
        <w:r>
          <w:rPr>
            <w:rStyle w:val="Hyperlink"/>
            <w:rFonts w:ascii="usual-light" w:hAnsi="usual-light" w:cs="Arial"/>
            <w:color w:val="FFFFFF"/>
            <w:sz w:val="27"/>
            <w:szCs w:val="27"/>
          </w:rPr>
          <w:t>Booker Shaw</w:t>
        </w:r>
      </w:hyperlink>
      <w:r>
        <w:rPr>
          <w:rFonts w:ascii="Arial" w:hAnsi="Arial" w:cs="Arial"/>
          <w:color w:val="231F20"/>
          <w:sz w:val="15"/>
          <w:szCs w:val="15"/>
        </w:rPr>
        <w:t>  </w:t>
      </w:r>
      <w:hyperlink r:id="rId6" w:history="1">
        <w:r>
          <w:rPr>
            <w:rStyle w:val="Hyperlink"/>
            <w:rFonts w:ascii="usual-light" w:hAnsi="usual-light" w:cs="Arial"/>
            <w:color w:val="FFFFFF"/>
            <w:sz w:val="27"/>
            <w:szCs w:val="27"/>
          </w:rPr>
          <w:t>Susan Lorenc</w:t>
        </w:r>
      </w:hyperlink>
      <w:r>
        <w:rPr>
          <w:rFonts w:ascii="Arial" w:hAnsi="Arial" w:cs="Arial"/>
          <w:color w:val="231F20"/>
          <w:sz w:val="15"/>
          <w:szCs w:val="15"/>
        </w:rPr>
        <w:t>  </w:t>
      </w:r>
      <w:hyperlink r:id="rId7" w:history="1">
        <w:r>
          <w:rPr>
            <w:rStyle w:val="Hyperlink"/>
            <w:rFonts w:ascii="usual-light" w:hAnsi="usual-light" w:cs="Arial"/>
            <w:color w:val="FFFFFF"/>
            <w:sz w:val="27"/>
            <w:szCs w:val="27"/>
          </w:rPr>
          <w:t>Aaron Lacey</w:t>
        </w:r>
      </w:hyperlink>
      <w:r>
        <w:rPr>
          <w:rFonts w:ascii="Arial" w:hAnsi="Arial" w:cs="Arial"/>
          <w:color w:val="231F20"/>
          <w:sz w:val="15"/>
          <w:szCs w:val="15"/>
        </w:rPr>
        <w:t>  </w:t>
      </w:r>
      <w:hyperlink r:id="rId8" w:history="1">
        <w:r>
          <w:rPr>
            <w:rStyle w:val="Hyperlink"/>
            <w:rFonts w:ascii="usual-light" w:hAnsi="usual-light" w:cs="Arial"/>
            <w:color w:val="FFFFFF"/>
            <w:sz w:val="27"/>
            <w:szCs w:val="27"/>
          </w:rPr>
          <w:t>Scott Goldschmidt</w:t>
        </w:r>
      </w:hyperlink>
      <w:r>
        <w:rPr>
          <w:rFonts w:ascii="Arial" w:hAnsi="Arial" w:cs="Arial"/>
          <w:color w:val="231F20"/>
          <w:sz w:val="15"/>
          <w:szCs w:val="15"/>
        </w:rPr>
        <w:t>  </w:t>
      </w:r>
      <w:r>
        <w:rPr>
          <w:rStyle w:val="blog-banner-subtext"/>
          <w:rFonts w:ascii="Arial" w:hAnsi="Arial" w:cs="Arial"/>
          <w:color w:val="FFFFFF"/>
          <w:sz w:val="27"/>
          <w:szCs w:val="27"/>
        </w:rPr>
        <w:t>July 24, 2020</w:t>
      </w:r>
    </w:p>
    <w:p w14:paraId="02B10A58" w14:textId="77777777" w:rsidR="002F2059" w:rsidRPr="002F2059" w:rsidRDefault="002F2059" w:rsidP="002F2059">
      <w:pPr>
        <w:shd w:val="clear" w:color="auto" w:fill="FFFFFF"/>
        <w:spacing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color w:val="000000"/>
          <w:kern w:val="0"/>
          <w:sz w:val="30"/>
          <w:szCs w:val="30"/>
          <w14:ligatures w14:val="none"/>
        </w:rPr>
        <w:t>On August 14, 2020, the U.S. Department of Education’s new and controversial </w:t>
      </w:r>
      <w:hyperlink r:id="rId9" w:tgtFrame="_blank" w:history="1">
        <w:r w:rsidRPr="002F2059">
          <w:rPr>
            <w:rFonts w:ascii="Arial" w:eastAsia="Times New Roman" w:hAnsi="Arial" w:cs="Arial"/>
            <w:b/>
            <w:bCs/>
            <w:color w:val="00A3AD"/>
            <w:kern w:val="0"/>
            <w:sz w:val="30"/>
            <w:szCs w:val="30"/>
            <w14:ligatures w14:val="none"/>
          </w:rPr>
          <w:t>Title IX Rule</w:t>
        </w:r>
      </w:hyperlink>
      <w:r w:rsidRPr="002F2059">
        <w:rPr>
          <w:rFonts w:ascii="Arial" w:eastAsia="Times New Roman" w:hAnsi="Arial" w:cs="Arial"/>
          <w:color w:val="000000"/>
          <w:kern w:val="0"/>
          <w:sz w:val="30"/>
          <w:szCs w:val="30"/>
          <w14:ligatures w14:val="none"/>
        </w:rPr>
        <w:t> concerning allegations of sexual harassment takes effect. To assist institutions of higher education working to comply with the new rule, Thompson Coburn’s Higher Education Practice has created a free, </w:t>
      </w:r>
      <w:hyperlink r:id="rId10" w:tgtFrame="_blank" w:history="1">
        <w:r w:rsidRPr="002F2059">
          <w:rPr>
            <w:rFonts w:ascii="Arial" w:eastAsia="Times New Roman" w:hAnsi="Arial" w:cs="Arial"/>
            <w:b/>
            <w:bCs/>
            <w:color w:val="00A3AD"/>
            <w:kern w:val="0"/>
            <w:sz w:val="30"/>
            <w:szCs w:val="30"/>
            <w14:ligatures w14:val="none"/>
          </w:rPr>
          <w:t>online lecture series</w:t>
        </w:r>
      </w:hyperlink>
      <w:r w:rsidRPr="002F2059">
        <w:rPr>
          <w:rFonts w:ascii="Arial" w:eastAsia="Times New Roman" w:hAnsi="Arial" w:cs="Arial"/>
          <w:color w:val="000000"/>
          <w:kern w:val="0"/>
          <w:sz w:val="30"/>
          <w:szCs w:val="30"/>
          <w14:ligatures w14:val="none"/>
        </w:rPr>
        <w:t> that provides foundational training for those individuals who will be administering the new Title IX process this fall, including Title IX coordinators, investigators, advisors, hearing officers and appeal officers.</w:t>
      </w:r>
    </w:p>
    <w:p w14:paraId="5CE67243" w14:textId="204DDA73" w:rsidR="002F2059" w:rsidRPr="002F2059" w:rsidRDefault="002F2059" w:rsidP="002F2059">
      <w:p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color w:val="000000"/>
          <w:kern w:val="0"/>
          <w:sz w:val="30"/>
          <w:szCs w:val="30"/>
          <w14:ligatures w14:val="none"/>
        </w:rPr>
        <w:t>Pursuant to the new rule, colleges and universities are required to train these individuals to carry out their roles. The training must cover certain, specified concepts and institutions must post any training materials they use to their external websites, making them available to the public.</w:t>
      </w:r>
      <w:r>
        <w:rPr>
          <w:rFonts w:ascii="Arial" w:eastAsia="Times New Roman" w:hAnsi="Arial" w:cs="Arial"/>
          <w:color w:val="000000"/>
          <w:kern w:val="0"/>
          <w:sz w:val="30"/>
          <w:szCs w:val="30"/>
          <w14:ligatures w14:val="none"/>
        </w:rPr>
        <w:t xml:space="preserve"> </w:t>
      </w:r>
      <w:r w:rsidRPr="002F2059">
        <w:rPr>
          <w:rFonts w:ascii="Arial" w:eastAsia="Times New Roman" w:hAnsi="Arial" w:cs="Arial"/>
          <w:color w:val="000000"/>
          <w:kern w:val="0"/>
          <w:sz w:val="30"/>
          <w:szCs w:val="30"/>
          <w14:ligatures w14:val="none"/>
        </w:rPr>
        <w:t>Thompson Coburn’s training series has been designed specifically to assist institutions with fulfilling these requirements. The entire, six-part series is free and available on YouTube, and may easily be linked to institutional websites. </w:t>
      </w:r>
    </w:p>
    <w:p w14:paraId="0FBA5933" w14:textId="77777777" w:rsidR="002F2059" w:rsidRPr="002F2059" w:rsidRDefault="002F2059" w:rsidP="002F2059">
      <w:p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color w:val="000000"/>
          <w:kern w:val="0"/>
          <w:sz w:val="30"/>
          <w:szCs w:val="30"/>
          <w14:ligatures w14:val="none"/>
        </w:rPr>
        <w:t xml:space="preserve">“We know that these are extraordinarily challenging times for higher education, and that resources for most institutions are strained to the limit,” observed Aaron Lacey, Chair of the firm’s Higher Education Practice. “When the new Title IX rule was released, we anticipated that many schools would find it difficult, if not impossible, to identify </w:t>
      </w:r>
      <w:r w:rsidRPr="002F2059">
        <w:rPr>
          <w:rFonts w:ascii="Arial" w:eastAsia="Times New Roman" w:hAnsi="Arial" w:cs="Arial"/>
          <w:color w:val="000000"/>
          <w:kern w:val="0"/>
          <w:sz w:val="30"/>
          <w:szCs w:val="30"/>
          <w14:ligatures w14:val="none"/>
        </w:rPr>
        <w:lastRenderedPageBreak/>
        <w:t>and secure the required training, particularly by August 14. And even for those institutions that located such training, there would be the added challenge of ensuring that the training is current, of high quality, and accessible to faculty and staff who are working remotely or across multiple campus locations. For all of these reasons, we decided to create an online training series that was free, easily accessible and focused on providing strong, foundational training for faculty, staff and administrators.”</w:t>
      </w:r>
    </w:p>
    <w:p w14:paraId="7AFCB05F" w14:textId="77777777" w:rsidR="002F2059" w:rsidRPr="002F2059" w:rsidRDefault="002F2059" w:rsidP="002F2059">
      <w:p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color w:val="000000"/>
          <w:kern w:val="0"/>
          <w:sz w:val="30"/>
          <w:szCs w:val="30"/>
          <w14:ligatures w14:val="none"/>
        </w:rPr>
        <w:t>Lacey added, “Though we describe the training as ‘foundational,’ it is quite robust. The six training modules total nearly eight hours of instruction, and include detailed discussions of the new law, as well as guidance and practical advice from a former deputy general counsel, a seasoned investigator and a retired judge.”</w:t>
      </w:r>
    </w:p>
    <w:p w14:paraId="4B072B37" w14:textId="77777777" w:rsidR="002F2059" w:rsidRPr="002F2059" w:rsidRDefault="002F2059" w:rsidP="002F2059">
      <w:p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color w:val="000000"/>
          <w:kern w:val="0"/>
          <w:sz w:val="30"/>
          <w:szCs w:val="30"/>
          <w14:ligatures w14:val="none"/>
        </w:rPr>
        <w:t>A brief description of each module in the training series is set out below. Though designed to be watched in the following order, modules also can be watched separately, on a stand-alone basis.</w:t>
      </w:r>
    </w:p>
    <w:p w14:paraId="6D11BCD0" w14:textId="77777777" w:rsidR="002F2059" w:rsidRPr="002F2059" w:rsidRDefault="002F2059" w:rsidP="002F2059">
      <w:pPr>
        <w:numPr>
          <w:ilvl w:val="0"/>
          <w:numId w:val="3"/>
        </w:numPr>
        <w:shd w:val="clear" w:color="auto" w:fill="FFFFFF"/>
        <w:spacing w:before="100" w:beforeAutospacing="1" w:after="300" w:line="240" w:lineRule="auto"/>
        <w:rPr>
          <w:rFonts w:ascii="Arial" w:eastAsia="Times New Roman" w:hAnsi="Arial" w:cs="Arial"/>
          <w:color w:val="000000"/>
          <w:kern w:val="0"/>
          <w:sz w:val="30"/>
          <w:szCs w:val="30"/>
          <w14:ligatures w14:val="none"/>
        </w:rPr>
      </w:pPr>
      <w:r w:rsidRPr="002F2059">
        <w:rPr>
          <w:rFonts w:ascii="Arial" w:eastAsia="Times New Roman" w:hAnsi="Arial" w:cs="Arial"/>
          <w:b/>
          <w:bCs/>
          <w:color w:val="000000"/>
          <w:kern w:val="0"/>
          <w:sz w:val="30"/>
          <w:szCs w:val="30"/>
          <w14:ligatures w14:val="none"/>
        </w:rPr>
        <w:t>Module 1 – An Introduction to Managing Title IX Sexual Harassment on Campus</w:t>
      </w:r>
      <w:r w:rsidRPr="002F2059">
        <w:rPr>
          <w:rFonts w:ascii="Arial" w:eastAsia="Times New Roman" w:hAnsi="Arial" w:cs="Arial"/>
          <w:color w:val="000000"/>
          <w:kern w:val="0"/>
          <w:sz w:val="30"/>
          <w:szCs w:val="30"/>
          <w14:ligatures w14:val="none"/>
        </w:rPr>
        <w:t>: In the Fundamentals of the Law module, </w:t>
      </w:r>
      <w:hyperlink r:id="rId11" w:history="1">
        <w:r w:rsidRPr="002F2059">
          <w:rPr>
            <w:rFonts w:ascii="Arial" w:eastAsia="Times New Roman" w:hAnsi="Arial" w:cs="Arial"/>
            <w:b/>
            <w:bCs/>
            <w:color w:val="00A3AD"/>
            <w:kern w:val="0"/>
            <w:sz w:val="30"/>
            <w:szCs w:val="30"/>
            <w14:ligatures w14:val="none"/>
          </w:rPr>
          <w:t>Scott Goldschmidt</w:t>
        </w:r>
      </w:hyperlink>
      <w:r w:rsidRPr="002F2059">
        <w:rPr>
          <w:rFonts w:ascii="Arial" w:eastAsia="Times New Roman" w:hAnsi="Arial" w:cs="Arial"/>
          <w:color w:val="000000"/>
          <w:kern w:val="0"/>
          <w:sz w:val="30"/>
          <w:szCs w:val="30"/>
          <w14:ligatures w14:val="none"/>
        </w:rPr>
        <w:t> and </w:t>
      </w:r>
      <w:hyperlink r:id="rId12" w:history="1">
        <w:r w:rsidRPr="002F2059">
          <w:rPr>
            <w:rFonts w:ascii="Arial" w:eastAsia="Times New Roman" w:hAnsi="Arial" w:cs="Arial"/>
            <w:b/>
            <w:bCs/>
            <w:color w:val="00A3AD"/>
            <w:kern w:val="0"/>
            <w:sz w:val="30"/>
            <w:szCs w:val="30"/>
            <w14:ligatures w14:val="none"/>
          </w:rPr>
          <w:t>Aaron Lacey</w:t>
        </w:r>
      </w:hyperlink>
      <w:r w:rsidRPr="002F2059">
        <w:rPr>
          <w:rFonts w:ascii="Arial" w:eastAsia="Times New Roman" w:hAnsi="Arial" w:cs="Arial"/>
          <w:color w:val="000000"/>
          <w:kern w:val="0"/>
          <w:sz w:val="30"/>
          <w:szCs w:val="30"/>
          <w14:ligatures w14:val="none"/>
        </w:rPr>
        <w:t> provide an overview of the new Title IX rule.  Starting with a background and history of Title IX, the module details key definitions, elements of a sufficient response to “Title IX sexual harassment,” interim and supportive measures and recordkeeping requirements.</w:t>
      </w:r>
    </w:p>
    <w:p w14:paraId="5C855D9D" w14:textId="77777777" w:rsidR="002F2059" w:rsidRPr="002F2059" w:rsidRDefault="002F2059" w:rsidP="002F2059">
      <w:pPr>
        <w:numPr>
          <w:ilvl w:val="0"/>
          <w:numId w:val="3"/>
        </w:numPr>
        <w:shd w:val="clear" w:color="auto" w:fill="FFFFFF"/>
        <w:spacing w:before="100" w:beforeAutospacing="1" w:after="300" w:line="240" w:lineRule="auto"/>
        <w:rPr>
          <w:rFonts w:ascii="Arial" w:eastAsia="Times New Roman" w:hAnsi="Arial" w:cs="Arial"/>
          <w:color w:val="000000"/>
          <w:kern w:val="0"/>
          <w:sz w:val="30"/>
          <w:szCs w:val="30"/>
          <w14:ligatures w14:val="none"/>
        </w:rPr>
      </w:pPr>
      <w:r w:rsidRPr="002F2059">
        <w:rPr>
          <w:rFonts w:ascii="Arial" w:eastAsia="Times New Roman" w:hAnsi="Arial" w:cs="Arial"/>
          <w:b/>
          <w:bCs/>
          <w:color w:val="000000"/>
          <w:kern w:val="0"/>
          <w:sz w:val="30"/>
          <w:szCs w:val="30"/>
          <w14:ligatures w14:val="none"/>
        </w:rPr>
        <w:t>Module 2 – Formal Complaints of Title IX Sexual Harassment</w:t>
      </w:r>
      <w:r w:rsidRPr="002F2059">
        <w:rPr>
          <w:rFonts w:ascii="Arial" w:eastAsia="Times New Roman" w:hAnsi="Arial" w:cs="Arial"/>
          <w:color w:val="000000"/>
          <w:kern w:val="0"/>
          <w:sz w:val="30"/>
          <w:szCs w:val="30"/>
          <w14:ligatures w14:val="none"/>
        </w:rPr>
        <w:t>: In the Formal Complaints module, Scott Goldschmidt and Aaron Lacey discuss the new regulation’s framework for formal complaints of Title IX sexual harassment. The module details the ten core requirements for a formal complaint process and explains the requirements regarding dismissals and consolidation of complaints.</w:t>
      </w:r>
    </w:p>
    <w:p w14:paraId="0365392A" w14:textId="77777777" w:rsidR="002F2059" w:rsidRPr="002F2059" w:rsidRDefault="002F2059" w:rsidP="002F2059">
      <w:pPr>
        <w:numPr>
          <w:ilvl w:val="0"/>
          <w:numId w:val="3"/>
        </w:numPr>
        <w:shd w:val="clear" w:color="auto" w:fill="FFFFFF"/>
        <w:spacing w:before="100" w:beforeAutospacing="1" w:after="300" w:line="240" w:lineRule="auto"/>
        <w:rPr>
          <w:rFonts w:ascii="Arial" w:eastAsia="Times New Roman" w:hAnsi="Arial" w:cs="Arial"/>
          <w:color w:val="000000"/>
          <w:kern w:val="0"/>
          <w:sz w:val="30"/>
          <w:szCs w:val="30"/>
          <w14:ligatures w14:val="none"/>
        </w:rPr>
      </w:pPr>
      <w:r w:rsidRPr="002F2059">
        <w:rPr>
          <w:rFonts w:ascii="Arial" w:eastAsia="Times New Roman" w:hAnsi="Arial" w:cs="Arial"/>
          <w:b/>
          <w:bCs/>
          <w:color w:val="000000"/>
          <w:kern w:val="0"/>
          <w:sz w:val="30"/>
          <w:szCs w:val="30"/>
          <w14:ligatures w14:val="none"/>
        </w:rPr>
        <w:t>Module 3 – Title IX Investigations &amp; Informal Resolutions</w:t>
      </w:r>
      <w:r w:rsidRPr="002F2059">
        <w:rPr>
          <w:rFonts w:ascii="Arial" w:eastAsia="Times New Roman" w:hAnsi="Arial" w:cs="Arial"/>
          <w:color w:val="000000"/>
          <w:kern w:val="0"/>
          <w:sz w:val="30"/>
          <w:szCs w:val="30"/>
          <w14:ligatures w14:val="none"/>
        </w:rPr>
        <w:t>: In the Investigations and Informal Resolutions module, </w:t>
      </w:r>
      <w:hyperlink r:id="rId13" w:history="1">
        <w:r w:rsidRPr="002F2059">
          <w:rPr>
            <w:rFonts w:ascii="Arial" w:eastAsia="Times New Roman" w:hAnsi="Arial" w:cs="Arial"/>
            <w:b/>
            <w:bCs/>
            <w:color w:val="00A3AD"/>
            <w:kern w:val="0"/>
            <w:sz w:val="30"/>
            <w:szCs w:val="30"/>
            <w14:ligatures w14:val="none"/>
          </w:rPr>
          <w:t>Susan Lorenc</w:t>
        </w:r>
      </w:hyperlink>
      <w:r w:rsidRPr="002F2059">
        <w:rPr>
          <w:rFonts w:ascii="Arial" w:eastAsia="Times New Roman" w:hAnsi="Arial" w:cs="Arial"/>
          <w:color w:val="000000"/>
          <w:kern w:val="0"/>
          <w:sz w:val="30"/>
          <w:szCs w:val="30"/>
          <w14:ligatures w14:val="none"/>
        </w:rPr>
        <w:t>, Scott Goldschmidt, and Aaron Lacey explain the new regulation’s requirements for investigations of formal complaints of Title IX sexual harassment. The module explores key concepts, notice requirements, confidentiality, evidence, serving impartially, issues of relevance, interviews, credibility determinations, collection and review of documentation and writing investigative reports. The module also explains the regulation’s requirements regarding informal resolutions.</w:t>
      </w:r>
    </w:p>
    <w:p w14:paraId="5D4EADAA" w14:textId="77777777" w:rsidR="002F2059" w:rsidRPr="002F2059" w:rsidRDefault="002F2059" w:rsidP="002F2059">
      <w:pPr>
        <w:numPr>
          <w:ilvl w:val="0"/>
          <w:numId w:val="3"/>
        </w:numPr>
        <w:shd w:val="clear" w:color="auto" w:fill="FFFFFF"/>
        <w:spacing w:before="100" w:beforeAutospacing="1" w:after="300" w:line="240" w:lineRule="auto"/>
        <w:rPr>
          <w:rFonts w:ascii="Arial" w:eastAsia="Times New Roman" w:hAnsi="Arial" w:cs="Arial"/>
          <w:color w:val="000000"/>
          <w:kern w:val="0"/>
          <w:sz w:val="30"/>
          <w:szCs w:val="30"/>
          <w14:ligatures w14:val="none"/>
        </w:rPr>
      </w:pPr>
      <w:r w:rsidRPr="002F2059">
        <w:rPr>
          <w:rFonts w:ascii="Arial" w:eastAsia="Times New Roman" w:hAnsi="Arial" w:cs="Arial"/>
          <w:b/>
          <w:bCs/>
          <w:color w:val="000000"/>
          <w:kern w:val="0"/>
          <w:sz w:val="30"/>
          <w:szCs w:val="30"/>
          <w14:ligatures w14:val="none"/>
        </w:rPr>
        <w:t>Module 4 – Title IX Hearings</w:t>
      </w:r>
      <w:r w:rsidRPr="002F2059">
        <w:rPr>
          <w:rFonts w:ascii="Arial" w:eastAsia="Times New Roman" w:hAnsi="Arial" w:cs="Arial"/>
          <w:color w:val="000000"/>
          <w:kern w:val="0"/>
          <w:sz w:val="30"/>
          <w:szCs w:val="30"/>
          <w14:ligatures w14:val="none"/>
        </w:rPr>
        <w:t>: In the Hearings module, Retired Judge </w:t>
      </w:r>
      <w:hyperlink r:id="rId14" w:history="1">
        <w:r w:rsidRPr="002F2059">
          <w:rPr>
            <w:rFonts w:ascii="Arial" w:eastAsia="Times New Roman" w:hAnsi="Arial" w:cs="Arial"/>
            <w:b/>
            <w:bCs/>
            <w:color w:val="00A3AD"/>
            <w:kern w:val="0"/>
            <w:sz w:val="30"/>
            <w:szCs w:val="30"/>
            <w14:ligatures w14:val="none"/>
          </w:rPr>
          <w:t>Booker Shaw</w:t>
        </w:r>
      </w:hyperlink>
      <w:r w:rsidRPr="002F2059">
        <w:rPr>
          <w:rFonts w:ascii="Arial" w:eastAsia="Times New Roman" w:hAnsi="Arial" w:cs="Arial"/>
          <w:color w:val="000000"/>
          <w:kern w:val="0"/>
          <w:sz w:val="30"/>
          <w:szCs w:val="30"/>
          <w14:ligatures w14:val="none"/>
        </w:rPr>
        <w:t>, Scott Goldschmidt, and Aaron Lacey, discuss the new regulation’s hearing requirements for formal complaints of Title IX sexual harassment. The module delves into key concepts, the live hearing requirement, advisors, managing cross-examination, relevance, credibility, burden of proof, evidence and legal privileges.</w:t>
      </w:r>
    </w:p>
    <w:p w14:paraId="2E692F72" w14:textId="77777777" w:rsidR="002F2059" w:rsidRPr="002F2059" w:rsidRDefault="002F2059" w:rsidP="002F2059">
      <w:pPr>
        <w:numPr>
          <w:ilvl w:val="0"/>
          <w:numId w:val="3"/>
        </w:numPr>
        <w:shd w:val="clear" w:color="auto" w:fill="FFFFFF"/>
        <w:spacing w:before="100" w:beforeAutospacing="1" w:after="300" w:line="240" w:lineRule="auto"/>
        <w:rPr>
          <w:rFonts w:ascii="Arial" w:eastAsia="Times New Roman" w:hAnsi="Arial" w:cs="Arial"/>
          <w:color w:val="000000"/>
          <w:kern w:val="0"/>
          <w:sz w:val="30"/>
          <w:szCs w:val="30"/>
          <w14:ligatures w14:val="none"/>
        </w:rPr>
      </w:pPr>
      <w:r w:rsidRPr="002F2059">
        <w:rPr>
          <w:rFonts w:ascii="Arial" w:eastAsia="Times New Roman" w:hAnsi="Arial" w:cs="Arial"/>
          <w:b/>
          <w:bCs/>
          <w:color w:val="000000"/>
          <w:kern w:val="0"/>
          <w:sz w:val="30"/>
          <w:szCs w:val="30"/>
          <w14:ligatures w14:val="none"/>
        </w:rPr>
        <w:t>Module 5 – Title IX Determinations</w:t>
      </w:r>
      <w:r w:rsidRPr="002F2059">
        <w:rPr>
          <w:rFonts w:ascii="Arial" w:eastAsia="Times New Roman" w:hAnsi="Arial" w:cs="Arial"/>
          <w:color w:val="000000"/>
          <w:kern w:val="0"/>
          <w:sz w:val="30"/>
          <w:szCs w:val="30"/>
          <w14:ligatures w14:val="none"/>
        </w:rPr>
        <w:t>: In the Determinations module, Susan Lorenc, Scott Goldschmidt, and Aaron Lacey explore the new regulation’s requirements for written determinations of responsibility following a hearing. The module covers key concepts, the format and content of determinations, organizing facts and thoughts, excluding facts in evidence, weighing facts under applicable evidentiary standards, types of evidence, effective deliberations and writing a defensible determination.</w:t>
      </w:r>
    </w:p>
    <w:p w14:paraId="144DF658" w14:textId="77777777" w:rsidR="002F2059" w:rsidRPr="002F2059" w:rsidRDefault="002F2059" w:rsidP="002F2059">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b/>
          <w:bCs/>
          <w:color w:val="000000"/>
          <w:kern w:val="0"/>
          <w:sz w:val="30"/>
          <w:szCs w:val="30"/>
          <w14:ligatures w14:val="none"/>
        </w:rPr>
        <w:t>Module 6 – Title IX Appeals</w:t>
      </w:r>
      <w:r w:rsidRPr="002F2059">
        <w:rPr>
          <w:rFonts w:ascii="Arial" w:eastAsia="Times New Roman" w:hAnsi="Arial" w:cs="Arial"/>
          <w:color w:val="000000"/>
          <w:kern w:val="0"/>
          <w:sz w:val="30"/>
          <w:szCs w:val="30"/>
          <w14:ligatures w14:val="none"/>
        </w:rPr>
        <w:t>: In the final module of the series, Retired Judge Booker Shaw, Scott Goldschmidt, and Aaron Lacey explain the new Title IX rule’s requirements for appeals. The module details key concepts, bases for appeal, drafting appeal decisions and requirements for appeal officers.</w:t>
      </w:r>
    </w:p>
    <w:p w14:paraId="0BCF1307" w14:textId="77777777" w:rsidR="002F2059" w:rsidRPr="002F2059" w:rsidRDefault="002F2059" w:rsidP="002F2059">
      <w:pPr>
        <w:shd w:val="clear" w:color="auto" w:fill="FFFFFF"/>
        <w:spacing w:before="100" w:beforeAutospacing="1" w:after="100" w:afterAutospacing="1" w:line="240" w:lineRule="auto"/>
        <w:rPr>
          <w:rFonts w:ascii="Arial" w:hAnsi="Arial" w:cs="Arial"/>
          <w:color w:val="000000"/>
          <w:sz w:val="30"/>
          <w:szCs w:val="30"/>
          <w:shd w:val="clear" w:color="auto" w:fill="FFFFFF"/>
        </w:rPr>
      </w:pPr>
      <w:hyperlink r:id="rId15" w:history="1">
        <w:r w:rsidRPr="002F2059">
          <w:rPr>
            <w:rStyle w:val="Strong"/>
            <w:rFonts w:ascii="Arial" w:hAnsi="Arial" w:cs="Arial"/>
            <w:color w:val="00A3AD"/>
            <w:sz w:val="30"/>
            <w:szCs w:val="30"/>
            <w:shd w:val="clear" w:color="auto" w:fill="FFFFFF"/>
          </w:rPr>
          <w:t>Click here</w:t>
        </w:r>
      </w:hyperlink>
      <w:r w:rsidRPr="002F2059">
        <w:rPr>
          <w:rFonts w:ascii="Arial" w:hAnsi="Arial" w:cs="Arial"/>
          <w:color w:val="000000"/>
          <w:sz w:val="30"/>
          <w:szCs w:val="30"/>
          <w:shd w:val="clear" w:color="auto" w:fill="FFFFFF"/>
        </w:rPr>
        <w:t> to access the slide decks for all six modules.</w:t>
      </w:r>
    </w:p>
    <w:p w14:paraId="54818A4B" w14:textId="2C6A79CA" w:rsidR="002F2059" w:rsidRPr="002F2059" w:rsidRDefault="002F2059" w:rsidP="002F2059">
      <w:p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color w:val="000000"/>
          <w:kern w:val="0"/>
          <w:sz w:val="30"/>
          <w:szCs w:val="30"/>
          <w14:ligatures w14:val="none"/>
        </w:rPr>
        <w:t>Thompson Coburn strongly encourages institutions that make use of the training series to supplement the series with training on the institution’s specific policies and procedures concerning formal complaints of sexual harassment, as well as with investigation and hearing simulations. The firm’s Higher Education practice is available and would be pleased to assist in the design, creation and delivery of this supplementary, custom training.</w:t>
      </w:r>
    </w:p>
    <w:p w14:paraId="08A33EA2" w14:textId="77777777" w:rsidR="002F2059" w:rsidRPr="002F2059" w:rsidRDefault="002F2059" w:rsidP="002F2059">
      <w:p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r w:rsidRPr="002F2059">
        <w:rPr>
          <w:rFonts w:ascii="Arial" w:eastAsia="Times New Roman" w:hAnsi="Arial" w:cs="Arial"/>
          <w:color w:val="000000"/>
          <w:kern w:val="0"/>
          <w:sz w:val="30"/>
          <w:szCs w:val="30"/>
          <w14:ligatures w14:val="none"/>
        </w:rPr>
        <w:t>For inquiries regarding the Thompson Coburn Title IX Training Series, custom training and simulations, or other issues relating to Title IX compliance, institutions are welcome to contact Scott Goldschmidt at sgoldschmidt@thompsoncoburn.com or Aaron Lacey at alacey@thompsoncoburn.com.</w:t>
      </w:r>
    </w:p>
    <w:p w14:paraId="79A68917" w14:textId="77777777" w:rsidR="002F2059" w:rsidRPr="002F2059" w:rsidRDefault="002F2059" w:rsidP="002F2059">
      <w:pPr>
        <w:shd w:val="clear" w:color="auto" w:fill="FFFFFF"/>
        <w:spacing w:before="100" w:beforeAutospacing="1" w:after="100" w:afterAutospacing="1" w:line="240" w:lineRule="auto"/>
        <w:rPr>
          <w:rFonts w:ascii="Arial" w:eastAsia="Times New Roman" w:hAnsi="Arial" w:cs="Arial"/>
          <w:color w:val="000000"/>
          <w:kern w:val="0"/>
          <w:sz w:val="30"/>
          <w:szCs w:val="30"/>
          <w14:ligatures w14:val="none"/>
        </w:rPr>
      </w:pPr>
      <w:hyperlink r:id="rId16" w:history="1">
        <w:r w:rsidRPr="002F2059">
          <w:rPr>
            <w:rFonts w:ascii="Arial" w:eastAsia="Times New Roman" w:hAnsi="Arial" w:cs="Arial"/>
            <w:b/>
            <w:bCs/>
            <w:i/>
            <w:iCs/>
            <w:color w:val="00A3AD"/>
            <w:kern w:val="0"/>
            <w:sz w:val="30"/>
            <w:szCs w:val="30"/>
            <w14:ligatures w14:val="none"/>
          </w:rPr>
          <w:t>Aaron Lacey</w:t>
        </w:r>
      </w:hyperlink>
      <w:r w:rsidRPr="002F2059">
        <w:rPr>
          <w:rFonts w:ascii="Arial" w:eastAsia="Times New Roman" w:hAnsi="Arial" w:cs="Arial"/>
          <w:i/>
          <w:iCs/>
          <w:color w:val="000000"/>
          <w:kern w:val="0"/>
          <w:sz w:val="30"/>
          <w:szCs w:val="30"/>
          <w14:ligatures w14:val="none"/>
        </w:rPr>
        <w:t xml:space="preserve"> is the leader of Thompson Coburn’s Higher Education practice, host of the Firm’s popular Higher Education Webinar Series, and editorial director of </w:t>
      </w:r>
      <w:proofErr w:type="spellStart"/>
      <w:r w:rsidRPr="002F2059">
        <w:rPr>
          <w:rFonts w:ascii="Arial" w:eastAsia="Times New Roman" w:hAnsi="Arial" w:cs="Arial"/>
          <w:i/>
          <w:iCs/>
          <w:color w:val="000000"/>
          <w:kern w:val="0"/>
          <w:sz w:val="30"/>
          <w:szCs w:val="30"/>
          <w14:ligatures w14:val="none"/>
        </w:rPr>
        <w:t>REGucation</w:t>
      </w:r>
      <w:proofErr w:type="spellEnd"/>
      <w:r w:rsidRPr="002F2059">
        <w:rPr>
          <w:rFonts w:ascii="Arial" w:eastAsia="Times New Roman" w:hAnsi="Arial" w:cs="Arial"/>
          <w:i/>
          <w:iCs/>
          <w:color w:val="000000"/>
          <w:kern w:val="0"/>
          <w:sz w:val="30"/>
          <w:szCs w:val="30"/>
          <w14:ligatures w14:val="none"/>
        </w:rPr>
        <w:t>, the Firm’s higher education law and policy blog. </w:t>
      </w:r>
      <w:hyperlink r:id="rId17" w:history="1">
        <w:r w:rsidRPr="002F2059">
          <w:rPr>
            <w:rFonts w:ascii="Arial" w:eastAsia="Times New Roman" w:hAnsi="Arial" w:cs="Arial"/>
            <w:b/>
            <w:bCs/>
            <w:i/>
            <w:iCs/>
            <w:color w:val="00A3AD"/>
            <w:kern w:val="0"/>
            <w:sz w:val="30"/>
            <w:szCs w:val="30"/>
            <w14:ligatures w14:val="none"/>
          </w:rPr>
          <w:t>Scott Goldschmidt</w:t>
        </w:r>
      </w:hyperlink>
      <w:r w:rsidRPr="002F2059">
        <w:rPr>
          <w:rFonts w:ascii="Arial" w:eastAsia="Times New Roman" w:hAnsi="Arial" w:cs="Arial"/>
          <w:i/>
          <w:iCs/>
          <w:color w:val="000000"/>
          <w:kern w:val="0"/>
          <w:sz w:val="30"/>
          <w:szCs w:val="30"/>
          <w14:ligatures w14:val="none"/>
        </w:rPr>
        <w:t> is the former Deputy General Counsel for Catholic University, and a member of the firm’s Higher Education practice.</w:t>
      </w:r>
    </w:p>
    <w:p w14:paraId="684B7B36" w14:textId="77777777" w:rsidR="00A930C5" w:rsidRDefault="00A930C5"/>
    <w:p w14:paraId="65D86F30" w14:textId="69A31D91" w:rsidR="00A930C5" w:rsidRDefault="00A930C5">
      <w:hyperlink r:id="rId18" w:history="1">
        <w:r w:rsidRPr="00643A18">
          <w:rPr>
            <w:rStyle w:val="Hyperlink"/>
          </w:rPr>
          <w:t>https://www.thompsoncoburn.com/title-ix-training-series-materials</w:t>
        </w:r>
      </w:hyperlink>
      <w:r>
        <w:t xml:space="preserve"> </w:t>
      </w:r>
    </w:p>
    <w:p w14:paraId="234914E6" w14:textId="77777777" w:rsidR="009920DD" w:rsidRDefault="009920DD"/>
    <w:p w14:paraId="1CD5346B" w14:textId="77777777" w:rsidR="009920DD" w:rsidRDefault="009920DD" w:rsidP="009920DD">
      <w:pPr>
        <w:pStyle w:val="Heading1"/>
        <w:shd w:val="clear" w:color="auto" w:fill="D5D7D7"/>
        <w:spacing w:before="0" w:beforeAutospacing="0" w:after="0" w:afterAutospacing="0"/>
        <w:rPr>
          <w:rFonts w:ascii="Arial" w:hAnsi="Arial" w:cs="Arial"/>
          <w:b w:val="0"/>
          <w:bCs w:val="0"/>
          <w:caps/>
          <w:color w:val="000000"/>
          <w:sz w:val="45"/>
          <w:szCs w:val="45"/>
        </w:rPr>
      </w:pPr>
      <w:r>
        <w:rPr>
          <w:rFonts w:ascii="Arial" w:hAnsi="Arial" w:cs="Arial"/>
          <w:b w:val="0"/>
          <w:bCs w:val="0"/>
          <w:caps/>
          <w:color w:val="000000"/>
          <w:sz w:val="45"/>
          <w:szCs w:val="45"/>
        </w:rPr>
        <w:t>TITLE IX TRAINING SERIES MATERIALS</w:t>
      </w:r>
    </w:p>
    <w:p w14:paraId="3A48AA3D" w14:textId="77777777" w:rsidR="009920DD" w:rsidRDefault="009920DD" w:rsidP="009920DD">
      <w:pPr>
        <w:jc w:val="center"/>
        <w:rPr>
          <w:rFonts w:ascii="Arial" w:hAnsi="Arial" w:cs="Arial"/>
          <w:color w:val="000000"/>
          <w:sz w:val="18"/>
          <w:szCs w:val="18"/>
        </w:rPr>
      </w:pPr>
      <w:r>
        <w:rPr>
          <w:rFonts w:ascii="Arial" w:hAnsi="Arial" w:cs="Arial"/>
          <w:color w:val="000000"/>
          <w:sz w:val="18"/>
          <w:szCs w:val="18"/>
        </w:rPr>
        <w:t> </w:t>
      </w:r>
    </w:p>
    <w:p w14:paraId="10B7B6F0"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Below you will find links to the slide decks for each of the Title IX Training Sessions along with a document highlighting the changes that have been made to the rule. For inquiries regarding the Thompson Coburn Title IX Training Series, custom training and simulations, or other issues relating to Title IX compliance, institutions are welcome to contact </w:t>
      </w:r>
      <w:hyperlink r:id="rId19" w:history="1">
        <w:r>
          <w:rPr>
            <w:rStyle w:val="Strong"/>
            <w:rFonts w:ascii="Arial" w:hAnsi="Arial" w:cs="Arial"/>
            <w:color w:val="00A3AD"/>
            <w:sz w:val="30"/>
            <w:szCs w:val="30"/>
          </w:rPr>
          <w:t>Scott Goldschmidt</w:t>
        </w:r>
      </w:hyperlink>
      <w:r>
        <w:rPr>
          <w:rFonts w:ascii="Arial" w:hAnsi="Arial" w:cs="Arial"/>
          <w:color w:val="000000"/>
          <w:sz w:val="30"/>
          <w:szCs w:val="30"/>
        </w:rPr>
        <w:t> at </w:t>
      </w:r>
      <w:hyperlink r:id="rId20" w:history="1">
        <w:r>
          <w:rPr>
            <w:rStyle w:val="Strong"/>
            <w:rFonts w:ascii="Arial" w:hAnsi="Arial" w:cs="Arial"/>
            <w:color w:val="00A3AD"/>
            <w:sz w:val="30"/>
            <w:szCs w:val="30"/>
          </w:rPr>
          <w:t>sgoldschmidt@thompsoncoburn.com</w:t>
        </w:r>
      </w:hyperlink>
      <w:r>
        <w:rPr>
          <w:rFonts w:ascii="Arial" w:hAnsi="Arial" w:cs="Arial"/>
          <w:color w:val="000000"/>
          <w:sz w:val="30"/>
          <w:szCs w:val="30"/>
        </w:rPr>
        <w:t> or </w:t>
      </w:r>
      <w:hyperlink r:id="rId21" w:history="1">
        <w:r>
          <w:rPr>
            <w:rStyle w:val="Strong"/>
            <w:rFonts w:ascii="Arial" w:hAnsi="Arial" w:cs="Arial"/>
            <w:color w:val="00A3AD"/>
            <w:sz w:val="30"/>
            <w:szCs w:val="30"/>
          </w:rPr>
          <w:t>Aaron Lacey</w:t>
        </w:r>
      </w:hyperlink>
      <w:r>
        <w:rPr>
          <w:rFonts w:ascii="Arial" w:hAnsi="Arial" w:cs="Arial"/>
          <w:color w:val="000000"/>
          <w:sz w:val="30"/>
          <w:szCs w:val="30"/>
        </w:rPr>
        <w:t> at </w:t>
      </w:r>
      <w:hyperlink r:id="rId22" w:history="1">
        <w:r>
          <w:rPr>
            <w:rStyle w:val="Strong"/>
            <w:rFonts w:ascii="Arial" w:hAnsi="Arial" w:cs="Arial"/>
            <w:color w:val="00A3AD"/>
            <w:sz w:val="30"/>
            <w:szCs w:val="30"/>
          </w:rPr>
          <w:t>alacey@thompsoncoburn.com</w:t>
        </w:r>
      </w:hyperlink>
      <w:r>
        <w:rPr>
          <w:rFonts w:ascii="Arial" w:hAnsi="Arial" w:cs="Arial"/>
          <w:color w:val="000000"/>
          <w:sz w:val="30"/>
          <w:szCs w:val="30"/>
        </w:rPr>
        <w:t>.</w:t>
      </w:r>
    </w:p>
    <w:p w14:paraId="72F1C151"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23" w:tgtFrame="_blank" w:history="1">
        <w:r>
          <w:rPr>
            <w:rStyle w:val="Strong"/>
            <w:rFonts w:ascii="Arial" w:hAnsi="Arial" w:cs="Arial"/>
            <w:b/>
            <w:bCs/>
            <w:color w:val="00A3AD"/>
            <w:sz w:val="45"/>
            <w:szCs w:val="45"/>
          </w:rPr>
          <w:t>Module 1 – An</w:t>
        </w:r>
        <w:r>
          <w:rPr>
            <w:rStyle w:val="Strong"/>
            <w:rFonts w:ascii="Arial" w:hAnsi="Arial" w:cs="Arial"/>
            <w:b/>
            <w:bCs/>
            <w:color w:val="00A3AD"/>
            <w:sz w:val="45"/>
            <w:szCs w:val="45"/>
          </w:rPr>
          <w:t xml:space="preserve"> </w:t>
        </w:r>
        <w:r>
          <w:rPr>
            <w:rStyle w:val="Strong"/>
            <w:rFonts w:ascii="Arial" w:hAnsi="Arial" w:cs="Arial"/>
            <w:b/>
            <w:bCs/>
            <w:color w:val="00A3AD"/>
            <w:sz w:val="45"/>
            <w:szCs w:val="45"/>
          </w:rPr>
          <w:t>Introduction to Managing Title IX Sexual Harassment on Campus</w:t>
        </w:r>
      </w:hyperlink>
    </w:p>
    <w:p w14:paraId="3F92401B"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Presented by </w:t>
      </w:r>
      <w:hyperlink r:id="rId24" w:history="1">
        <w:r>
          <w:rPr>
            <w:rStyle w:val="Strong"/>
            <w:rFonts w:ascii="Arial" w:hAnsi="Arial" w:cs="Arial"/>
            <w:color w:val="00A3AD"/>
            <w:sz w:val="30"/>
            <w:szCs w:val="30"/>
          </w:rPr>
          <w:t>Scott Goldschmidt</w:t>
        </w:r>
      </w:hyperlink>
      <w:r>
        <w:rPr>
          <w:rStyle w:val="Strong"/>
          <w:rFonts w:ascii="Arial" w:hAnsi="Arial" w:cs="Arial"/>
          <w:color w:val="000000"/>
          <w:sz w:val="30"/>
          <w:szCs w:val="30"/>
        </w:rPr>
        <w:t> </w:t>
      </w:r>
      <w:r>
        <w:rPr>
          <w:rFonts w:ascii="Arial" w:hAnsi="Arial" w:cs="Arial"/>
          <w:color w:val="000000"/>
          <w:sz w:val="30"/>
          <w:szCs w:val="30"/>
        </w:rPr>
        <w:t>and </w:t>
      </w:r>
      <w:hyperlink r:id="rId25" w:history="1">
        <w:r>
          <w:rPr>
            <w:rStyle w:val="Strong"/>
            <w:rFonts w:ascii="Arial" w:hAnsi="Arial" w:cs="Arial"/>
            <w:color w:val="00A3AD"/>
            <w:sz w:val="30"/>
            <w:szCs w:val="30"/>
          </w:rPr>
          <w:t>Aaron Lacey</w:t>
        </w:r>
      </w:hyperlink>
    </w:p>
    <w:p w14:paraId="68B21310"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26" w:tgtFrame="_blank" w:history="1">
        <w:r>
          <w:rPr>
            <w:rStyle w:val="Strong"/>
            <w:rFonts w:ascii="Arial" w:hAnsi="Arial" w:cs="Arial"/>
            <w:b/>
            <w:bCs/>
            <w:color w:val="00A3AD"/>
            <w:sz w:val="45"/>
            <w:szCs w:val="45"/>
          </w:rPr>
          <w:t>Module 2 – Formal Complaints of Title IX Sexual Harassment</w:t>
        </w:r>
      </w:hyperlink>
    </w:p>
    <w:p w14:paraId="1292430D"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Presented by </w:t>
      </w:r>
      <w:hyperlink r:id="rId27" w:history="1">
        <w:r>
          <w:rPr>
            <w:rStyle w:val="Strong"/>
            <w:rFonts w:ascii="Arial" w:hAnsi="Arial" w:cs="Arial"/>
            <w:color w:val="00A3AD"/>
            <w:sz w:val="30"/>
            <w:szCs w:val="30"/>
          </w:rPr>
          <w:t>Scott Goldschmidt</w:t>
        </w:r>
      </w:hyperlink>
      <w:r>
        <w:rPr>
          <w:rFonts w:ascii="Arial" w:hAnsi="Arial" w:cs="Arial"/>
          <w:color w:val="000000"/>
          <w:sz w:val="30"/>
          <w:szCs w:val="30"/>
        </w:rPr>
        <w:t> and </w:t>
      </w:r>
      <w:hyperlink r:id="rId28" w:history="1">
        <w:r>
          <w:rPr>
            <w:rStyle w:val="Strong"/>
            <w:rFonts w:ascii="Arial" w:hAnsi="Arial" w:cs="Arial"/>
            <w:color w:val="00A3AD"/>
            <w:sz w:val="30"/>
            <w:szCs w:val="30"/>
          </w:rPr>
          <w:t>Aaron Lacey</w:t>
        </w:r>
      </w:hyperlink>
    </w:p>
    <w:p w14:paraId="10231554"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29" w:tgtFrame="_blank" w:history="1">
        <w:r>
          <w:rPr>
            <w:rStyle w:val="Strong"/>
            <w:rFonts w:ascii="Arial" w:hAnsi="Arial" w:cs="Arial"/>
            <w:b/>
            <w:bCs/>
            <w:color w:val="00A3AD"/>
            <w:sz w:val="45"/>
            <w:szCs w:val="45"/>
          </w:rPr>
          <w:t>Modul</w:t>
        </w:r>
        <w:r>
          <w:rPr>
            <w:rStyle w:val="Strong"/>
            <w:rFonts w:ascii="Arial" w:hAnsi="Arial" w:cs="Arial"/>
            <w:b/>
            <w:bCs/>
            <w:color w:val="00A3AD"/>
            <w:sz w:val="45"/>
            <w:szCs w:val="45"/>
          </w:rPr>
          <w:t>e</w:t>
        </w:r>
        <w:r>
          <w:rPr>
            <w:rStyle w:val="Strong"/>
            <w:rFonts w:ascii="Arial" w:hAnsi="Arial" w:cs="Arial"/>
            <w:b/>
            <w:bCs/>
            <w:color w:val="00A3AD"/>
            <w:sz w:val="45"/>
            <w:szCs w:val="45"/>
          </w:rPr>
          <w:t xml:space="preserve"> 3 – Title IX Investigations &amp; Informal Resolutions</w:t>
        </w:r>
      </w:hyperlink>
    </w:p>
    <w:p w14:paraId="2CF5F58F"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Presented by </w:t>
      </w:r>
      <w:hyperlink r:id="rId30" w:history="1">
        <w:r>
          <w:rPr>
            <w:rStyle w:val="Strong"/>
            <w:rFonts w:ascii="Arial" w:hAnsi="Arial" w:cs="Arial"/>
            <w:color w:val="00A3AD"/>
            <w:sz w:val="30"/>
            <w:szCs w:val="30"/>
          </w:rPr>
          <w:t>Susan Lorenc</w:t>
        </w:r>
      </w:hyperlink>
      <w:r>
        <w:rPr>
          <w:rStyle w:val="Strong"/>
          <w:rFonts w:ascii="Arial" w:hAnsi="Arial" w:cs="Arial"/>
          <w:color w:val="000000"/>
          <w:sz w:val="30"/>
          <w:szCs w:val="30"/>
        </w:rPr>
        <w:t>, </w:t>
      </w:r>
      <w:hyperlink r:id="rId31" w:history="1">
        <w:r>
          <w:rPr>
            <w:rStyle w:val="Strong"/>
            <w:rFonts w:ascii="Arial" w:hAnsi="Arial" w:cs="Arial"/>
            <w:color w:val="00A3AD"/>
            <w:sz w:val="30"/>
            <w:szCs w:val="30"/>
          </w:rPr>
          <w:t>Scott Goldschmidt</w:t>
        </w:r>
      </w:hyperlink>
      <w:r>
        <w:rPr>
          <w:rFonts w:ascii="Arial" w:hAnsi="Arial" w:cs="Arial"/>
          <w:color w:val="000000"/>
          <w:sz w:val="30"/>
          <w:szCs w:val="30"/>
        </w:rPr>
        <w:t> and </w:t>
      </w:r>
      <w:hyperlink r:id="rId32" w:history="1">
        <w:r>
          <w:rPr>
            <w:rStyle w:val="Strong"/>
            <w:rFonts w:ascii="Arial" w:hAnsi="Arial" w:cs="Arial"/>
            <w:color w:val="00A3AD"/>
            <w:sz w:val="30"/>
            <w:szCs w:val="30"/>
          </w:rPr>
          <w:t>Aaron Lacey</w:t>
        </w:r>
      </w:hyperlink>
      <w:r>
        <w:rPr>
          <w:rFonts w:ascii="Arial" w:hAnsi="Arial" w:cs="Arial"/>
          <w:color w:val="000000"/>
          <w:sz w:val="30"/>
          <w:szCs w:val="30"/>
        </w:rPr>
        <w:t>  </w:t>
      </w:r>
    </w:p>
    <w:p w14:paraId="72DA31B5"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33" w:tgtFrame="_blank" w:history="1">
        <w:r>
          <w:rPr>
            <w:rStyle w:val="Strong"/>
            <w:rFonts w:ascii="Arial" w:hAnsi="Arial" w:cs="Arial"/>
            <w:b/>
            <w:bCs/>
            <w:color w:val="00A3AD"/>
            <w:sz w:val="45"/>
            <w:szCs w:val="45"/>
          </w:rPr>
          <w:t>Module 4 – Title IX Hearings</w:t>
        </w:r>
      </w:hyperlink>
    </w:p>
    <w:p w14:paraId="37B1E6E3"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Presented by Retired Judge </w:t>
      </w:r>
      <w:hyperlink r:id="rId34" w:history="1">
        <w:r>
          <w:rPr>
            <w:rStyle w:val="Strong"/>
            <w:rFonts w:ascii="Arial" w:hAnsi="Arial" w:cs="Arial"/>
            <w:color w:val="00A3AD"/>
            <w:sz w:val="30"/>
            <w:szCs w:val="30"/>
          </w:rPr>
          <w:t>Booker Shaw</w:t>
        </w:r>
      </w:hyperlink>
      <w:r>
        <w:rPr>
          <w:rStyle w:val="Strong"/>
          <w:rFonts w:ascii="Arial" w:hAnsi="Arial" w:cs="Arial"/>
          <w:color w:val="000000"/>
          <w:sz w:val="30"/>
          <w:szCs w:val="30"/>
        </w:rPr>
        <w:t>, </w:t>
      </w:r>
      <w:hyperlink r:id="rId35" w:history="1">
        <w:r>
          <w:rPr>
            <w:rStyle w:val="Strong"/>
            <w:rFonts w:ascii="Arial" w:hAnsi="Arial" w:cs="Arial"/>
            <w:color w:val="00A3AD"/>
            <w:sz w:val="30"/>
            <w:szCs w:val="30"/>
          </w:rPr>
          <w:t>Scott Goldschmidt</w:t>
        </w:r>
      </w:hyperlink>
      <w:r>
        <w:rPr>
          <w:rStyle w:val="Strong"/>
          <w:rFonts w:ascii="Arial" w:hAnsi="Arial" w:cs="Arial"/>
          <w:color w:val="000000"/>
          <w:sz w:val="30"/>
          <w:szCs w:val="30"/>
        </w:rPr>
        <w:t>,</w:t>
      </w:r>
      <w:r>
        <w:rPr>
          <w:rFonts w:ascii="Arial" w:hAnsi="Arial" w:cs="Arial"/>
          <w:color w:val="000000"/>
          <w:sz w:val="30"/>
          <w:szCs w:val="30"/>
        </w:rPr>
        <w:t> and </w:t>
      </w:r>
      <w:hyperlink r:id="rId36" w:history="1">
        <w:r>
          <w:rPr>
            <w:rStyle w:val="Strong"/>
            <w:rFonts w:ascii="Arial" w:hAnsi="Arial" w:cs="Arial"/>
            <w:color w:val="00A3AD"/>
            <w:sz w:val="30"/>
            <w:szCs w:val="30"/>
          </w:rPr>
          <w:t>Aaron Lacey</w:t>
        </w:r>
      </w:hyperlink>
    </w:p>
    <w:p w14:paraId="3EF36F4D"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37" w:tgtFrame="_blank" w:history="1">
        <w:r>
          <w:rPr>
            <w:rStyle w:val="Strong"/>
            <w:rFonts w:ascii="Arial" w:hAnsi="Arial" w:cs="Arial"/>
            <w:b/>
            <w:bCs/>
            <w:color w:val="00A3AD"/>
            <w:sz w:val="45"/>
            <w:szCs w:val="45"/>
          </w:rPr>
          <w:t>Module 5 – Title IX Determinations</w:t>
        </w:r>
      </w:hyperlink>
    </w:p>
    <w:p w14:paraId="1C01B8D6"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Presented by </w:t>
      </w:r>
      <w:hyperlink r:id="rId38" w:history="1">
        <w:r>
          <w:rPr>
            <w:rStyle w:val="Strong"/>
            <w:rFonts w:ascii="Arial" w:hAnsi="Arial" w:cs="Arial"/>
            <w:color w:val="00A3AD"/>
            <w:sz w:val="30"/>
            <w:szCs w:val="30"/>
          </w:rPr>
          <w:t>Susan Lorenc</w:t>
        </w:r>
      </w:hyperlink>
      <w:r>
        <w:rPr>
          <w:rStyle w:val="Strong"/>
          <w:rFonts w:ascii="Arial" w:hAnsi="Arial" w:cs="Arial"/>
          <w:color w:val="000000"/>
          <w:sz w:val="30"/>
          <w:szCs w:val="30"/>
        </w:rPr>
        <w:t>, </w:t>
      </w:r>
      <w:hyperlink r:id="rId39" w:history="1">
        <w:r>
          <w:rPr>
            <w:rStyle w:val="Strong"/>
            <w:rFonts w:ascii="Arial" w:hAnsi="Arial" w:cs="Arial"/>
            <w:color w:val="00A3AD"/>
            <w:sz w:val="30"/>
            <w:szCs w:val="30"/>
          </w:rPr>
          <w:t>Scott Goldschmidt</w:t>
        </w:r>
      </w:hyperlink>
      <w:r>
        <w:rPr>
          <w:rStyle w:val="Strong"/>
          <w:rFonts w:ascii="Arial" w:hAnsi="Arial" w:cs="Arial"/>
          <w:color w:val="000000"/>
          <w:sz w:val="30"/>
          <w:szCs w:val="30"/>
        </w:rPr>
        <w:t>,</w:t>
      </w:r>
      <w:r>
        <w:rPr>
          <w:rFonts w:ascii="Arial" w:hAnsi="Arial" w:cs="Arial"/>
          <w:color w:val="000000"/>
          <w:sz w:val="30"/>
          <w:szCs w:val="30"/>
        </w:rPr>
        <w:t> and </w:t>
      </w:r>
      <w:hyperlink r:id="rId40" w:history="1">
        <w:r>
          <w:rPr>
            <w:rStyle w:val="Strong"/>
            <w:rFonts w:ascii="Arial" w:hAnsi="Arial" w:cs="Arial"/>
            <w:color w:val="00A3AD"/>
            <w:sz w:val="30"/>
            <w:szCs w:val="30"/>
          </w:rPr>
          <w:t>Aaron Lacey</w:t>
        </w:r>
      </w:hyperlink>
    </w:p>
    <w:p w14:paraId="091CB7BF"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41" w:tgtFrame="_blank" w:history="1">
        <w:r>
          <w:rPr>
            <w:rStyle w:val="Strong"/>
            <w:rFonts w:ascii="Arial" w:hAnsi="Arial" w:cs="Arial"/>
            <w:b/>
            <w:bCs/>
            <w:color w:val="00A3AD"/>
            <w:sz w:val="45"/>
            <w:szCs w:val="45"/>
          </w:rPr>
          <w:t>Module 6 – Title IX Appeals</w:t>
        </w:r>
      </w:hyperlink>
    </w:p>
    <w:p w14:paraId="2DC1D13C"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Presented by Retired Judge </w:t>
      </w:r>
      <w:hyperlink r:id="rId42" w:history="1">
        <w:r>
          <w:rPr>
            <w:rStyle w:val="Strong"/>
            <w:rFonts w:ascii="Arial" w:hAnsi="Arial" w:cs="Arial"/>
            <w:color w:val="00A3AD"/>
            <w:sz w:val="30"/>
            <w:szCs w:val="30"/>
          </w:rPr>
          <w:t>Booker Shaw</w:t>
        </w:r>
      </w:hyperlink>
      <w:r>
        <w:rPr>
          <w:rStyle w:val="Strong"/>
          <w:rFonts w:ascii="Arial" w:hAnsi="Arial" w:cs="Arial"/>
          <w:color w:val="000000"/>
          <w:sz w:val="30"/>
          <w:szCs w:val="30"/>
        </w:rPr>
        <w:t>, </w:t>
      </w:r>
      <w:hyperlink r:id="rId43" w:history="1">
        <w:r>
          <w:rPr>
            <w:rStyle w:val="Strong"/>
            <w:rFonts w:ascii="Arial" w:hAnsi="Arial" w:cs="Arial"/>
            <w:color w:val="00A3AD"/>
            <w:sz w:val="30"/>
            <w:szCs w:val="30"/>
          </w:rPr>
          <w:t>Scott Goldschmidt</w:t>
        </w:r>
      </w:hyperlink>
      <w:r>
        <w:rPr>
          <w:rStyle w:val="Strong"/>
          <w:rFonts w:ascii="Arial" w:hAnsi="Arial" w:cs="Arial"/>
          <w:color w:val="000000"/>
          <w:sz w:val="30"/>
          <w:szCs w:val="30"/>
        </w:rPr>
        <w:t>,</w:t>
      </w:r>
      <w:r>
        <w:rPr>
          <w:rFonts w:ascii="Arial" w:hAnsi="Arial" w:cs="Arial"/>
          <w:color w:val="000000"/>
          <w:sz w:val="30"/>
          <w:szCs w:val="30"/>
        </w:rPr>
        <w:t> and </w:t>
      </w:r>
      <w:hyperlink r:id="rId44" w:history="1">
        <w:r>
          <w:rPr>
            <w:rStyle w:val="Strong"/>
            <w:rFonts w:ascii="Arial" w:hAnsi="Arial" w:cs="Arial"/>
            <w:color w:val="00A3AD"/>
            <w:sz w:val="30"/>
            <w:szCs w:val="30"/>
          </w:rPr>
          <w:t>Aaron Lacey</w:t>
        </w:r>
      </w:hyperlink>
    </w:p>
    <w:p w14:paraId="7F84C322"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r>
        <w:rPr>
          <w:rStyle w:val="Strong"/>
          <w:rFonts w:ascii="Arial" w:hAnsi="Arial" w:cs="Arial"/>
          <w:b/>
          <w:bCs/>
          <w:color w:val="000000"/>
          <w:sz w:val="45"/>
          <w:szCs w:val="45"/>
        </w:rPr>
        <w:t>Additional Materials</w:t>
      </w:r>
    </w:p>
    <w:p w14:paraId="233EF57A"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45" w:tgtFrame="_blank" w:history="1">
        <w:r>
          <w:rPr>
            <w:rStyle w:val="Strong"/>
            <w:rFonts w:ascii="Arial" w:hAnsi="Arial" w:cs="Arial"/>
            <w:b/>
            <w:bCs/>
            <w:color w:val="00A3AD"/>
            <w:sz w:val="45"/>
            <w:szCs w:val="45"/>
          </w:rPr>
          <w:t>Title IX Comparison</w:t>
        </w:r>
      </w:hyperlink>
    </w:p>
    <w:p w14:paraId="415C0231"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46" w:tgtFrame="_blank" w:history="1">
        <w:r>
          <w:rPr>
            <w:rStyle w:val="Strong"/>
            <w:rFonts w:ascii="Arial" w:hAnsi="Arial" w:cs="Arial"/>
            <w:b/>
            <w:bCs/>
            <w:color w:val="00A3AD"/>
            <w:sz w:val="45"/>
            <w:szCs w:val="45"/>
          </w:rPr>
          <w:t>Title IX Compliance Checklist</w:t>
        </w:r>
      </w:hyperlink>
    </w:p>
    <w:p w14:paraId="01CCE679" w14:textId="77777777" w:rsidR="009920DD" w:rsidRDefault="009920DD" w:rsidP="009920DD">
      <w:pPr>
        <w:pStyle w:val="Heading2"/>
        <w:spacing w:before="0" w:beforeAutospacing="0" w:after="300" w:afterAutospacing="0"/>
        <w:rPr>
          <w:rFonts w:ascii="Arial" w:hAnsi="Arial" w:cs="Arial"/>
          <w:b w:val="0"/>
          <w:bCs w:val="0"/>
          <w:color w:val="000000"/>
          <w:sz w:val="45"/>
          <w:szCs w:val="45"/>
        </w:rPr>
      </w:pPr>
      <w:hyperlink r:id="rId47" w:tgtFrame="_blank" w:history="1">
        <w:r>
          <w:rPr>
            <w:rStyle w:val="Strong"/>
            <w:rFonts w:ascii="Arial" w:hAnsi="Arial" w:cs="Arial"/>
            <w:b/>
            <w:bCs/>
            <w:color w:val="00A3AD"/>
            <w:sz w:val="45"/>
            <w:szCs w:val="45"/>
          </w:rPr>
          <w:t>Title IX Compliance Training Series Videos</w:t>
        </w:r>
      </w:hyperlink>
    </w:p>
    <w:p w14:paraId="2CB26D2D" w14:textId="77777777" w:rsidR="009920DD" w:rsidRDefault="009920DD" w:rsidP="009920DD">
      <w:pPr>
        <w:pStyle w:val="NormalWeb"/>
        <w:rPr>
          <w:rFonts w:ascii="Arial" w:hAnsi="Arial" w:cs="Arial"/>
          <w:color w:val="000000"/>
          <w:sz w:val="30"/>
          <w:szCs w:val="30"/>
        </w:rPr>
      </w:pPr>
      <w:r>
        <w:rPr>
          <w:rStyle w:val="Emphasis"/>
          <w:rFonts w:ascii="Arial" w:hAnsi="Arial" w:cs="Arial"/>
          <w:color w:val="000000"/>
          <w:sz w:val="30"/>
          <w:szCs w:val="30"/>
        </w:rPr>
        <w:t>These materials are intended for information only and should not be considered legal advice. If you desire legal advice for a particular situation, you should consult an attorney.</w:t>
      </w:r>
    </w:p>
    <w:p w14:paraId="54131A2F" w14:textId="77777777" w:rsidR="009920DD" w:rsidRDefault="009920DD" w:rsidP="009920DD">
      <w:pPr>
        <w:pStyle w:val="NormalWeb"/>
        <w:rPr>
          <w:rFonts w:ascii="Arial" w:hAnsi="Arial" w:cs="Arial"/>
          <w:color w:val="000000"/>
          <w:sz w:val="30"/>
          <w:szCs w:val="30"/>
        </w:rPr>
      </w:pPr>
      <w:r>
        <w:rPr>
          <w:rFonts w:ascii="Arial" w:hAnsi="Arial" w:cs="Arial"/>
          <w:color w:val="000000"/>
          <w:sz w:val="30"/>
          <w:szCs w:val="30"/>
        </w:rPr>
        <w:t> </w:t>
      </w:r>
    </w:p>
    <w:p w14:paraId="7BE06ED0" w14:textId="77777777" w:rsidR="009920DD" w:rsidRDefault="009920DD" w:rsidP="009920DD">
      <w:pPr>
        <w:spacing w:after="0" w:line="240" w:lineRule="auto"/>
        <w:ind w:left="720" w:right="96"/>
        <w:rPr>
          <w:rFonts w:ascii="Arial" w:hAnsi="Arial" w:cs="Arial"/>
          <w:color w:val="000000"/>
          <w:sz w:val="24"/>
          <w:szCs w:val="24"/>
        </w:rPr>
      </w:pPr>
      <w:r>
        <w:rPr>
          <w:rFonts w:ascii="Arial" w:hAnsi="Arial" w:cs="Arial"/>
          <w:color w:val="000000"/>
        </w:rPr>
        <w:t>© 2023 Thompson Coburn LLP </w:t>
      </w:r>
    </w:p>
    <w:p w14:paraId="115544F5" w14:textId="77777777" w:rsidR="009920DD" w:rsidRDefault="009920DD"/>
    <w:sectPr w:rsidR="00992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sual-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93B"/>
    <w:multiLevelType w:val="multilevel"/>
    <w:tmpl w:val="7AAC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2E8D"/>
    <w:multiLevelType w:val="multilevel"/>
    <w:tmpl w:val="332C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26181"/>
    <w:multiLevelType w:val="multilevel"/>
    <w:tmpl w:val="ACAE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878831">
    <w:abstractNumId w:val="0"/>
  </w:num>
  <w:num w:numId="2" w16cid:durableId="1972054387">
    <w:abstractNumId w:val="1"/>
  </w:num>
  <w:num w:numId="3" w16cid:durableId="181583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C5"/>
    <w:rsid w:val="002F2059"/>
    <w:rsid w:val="009920DD"/>
    <w:rsid w:val="00A9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FE99"/>
  <w15:chartTrackingRefBased/>
  <w15:docId w15:val="{7E8B4C10-904A-49F0-8DC0-8ABABA0C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0D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20D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0C5"/>
    <w:rPr>
      <w:color w:val="0563C1" w:themeColor="hyperlink"/>
      <w:u w:val="single"/>
    </w:rPr>
  </w:style>
  <w:style w:type="character" w:styleId="UnresolvedMention">
    <w:name w:val="Unresolved Mention"/>
    <w:basedOn w:val="DefaultParagraphFont"/>
    <w:uiPriority w:val="99"/>
    <w:semiHidden/>
    <w:unhideWhenUsed/>
    <w:rsid w:val="00A930C5"/>
    <w:rPr>
      <w:color w:val="605E5C"/>
      <w:shd w:val="clear" w:color="auto" w:fill="E1DFDD"/>
    </w:rPr>
  </w:style>
  <w:style w:type="character" w:customStyle="1" w:styleId="Heading1Char">
    <w:name w:val="Heading 1 Char"/>
    <w:basedOn w:val="DefaultParagraphFont"/>
    <w:link w:val="Heading1"/>
    <w:uiPriority w:val="9"/>
    <w:rsid w:val="009920D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20D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92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920DD"/>
    <w:rPr>
      <w:b/>
      <w:bCs/>
    </w:rPr>
  </w:style>
  <w:style w:type="character" w:styleId="Emphasis">
    <w:name w:val="Emphasis"/>
    <w:basedOn w:val="DefaultParagraphFont"/>
    <w:uiPriority w:val="20"/>
    <w:qFormat/>
    <w:rsid w:val="009920DD"/>
    <w:rPr>
      <w:i/>
      <w:iCs/>
    </w:rPr>
  </w:style>
  <w:style w:type="character" w:customStyle="1" w:styleId="blog-banner-subtext">
    <w:name w:val="blog-banner-subtext"/>
    <w:basedOn w:val="DefaultParagraphFont"/>
    <w:rsid w:val="002F2059"/>
  </w:style>
  <w:style w:type="paragraph" w:styleId="ListParagraph">
    <w:name w:val="List Paragraph"/>
    <w:basedOn w:val="Normal"/>
    <w:uiPriority w:val="34"/>
    <w:qFormat/>
    <w:rsid w:val="002F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6176">
      <w:bodyDiv w:val="1"/>
      <w:marLeft w:val="0"/>
      <w:marRight w:val="0"/>
      <w:marTop w:val="0"/>
      <w:marBottom w:val="0"/>
      <w:divBdr>
        <w:top w:val="none" w:sz="0" w:space="0" w:color="auto"/>
        <w:left w:val="none" w:sz="0" w:space="0" w:color="auto"/>
        <w:bottom w:val="none" w:sz="0" w:space="0" w:color="auto"/>
        <w:right w:val="none" w:sz="0" w:space="0" w:color="auto"/>
      </w:divBdr>
    </w:div>
    <w:div w:id="1402172282">
      <w:bodyDiv w:val="1"/>
      <w:marLeft w:val="0"/>
      <w:marRight w:val="0"/>
      <w:marTop w:val="0"/>
      <w:marBottom w:val="0"/>
      <w:divBdr>
        <w:top w:val="none" w:sz="0" w:space="0" w:color="auto"/>
        <w:left w:val="none" w:sz="0" w:space="0" w:color="auto"/>
        <w:bottom w:val="none" w:sz="0" w:space="0" w:color="auto"/>
        <w:right w:val="none" w:sz="0" w:space="0" w:color="auto"/>
      </w:divBdr>
      <w:divsChild>
        <w:div w:id="373190606">
          <w:marLeft w:val="0"/>
          <w:marRight w:val="0"/>
          <w:marTop w:val="0"/>
          <w:marBottom w:val="300"/>
          <w:divBdr>
            <w:top w:val="none" w:sz="0" w:space="0" w:color="auto"/>
            <w:left w:val="none" w:sz="0" w:space="0" w:color="auto"/>
            <w:bottom w:val="none" w:sz="0" w:space="0" w:color="auto"/>
            <w:right w:val="none" w:sz="0" w:space="0" w:color="auto"/>
          </w:divBdr>
        </w:div>
      </w:divsChild>
    </w:div>
    <w:div w:id="1427651461">
      <w:bodyDiv w:val="1"/>
      <w:marLeft w:val="0"/>
      <w:marRight w:val="0"/>
      <w:marTop w:val="0"/>
      <w:marBottom w:val="0"/>
      <w:divBdr>
        <w:top w:val="none" w:sz="0" w:space="0" w:color="auto"/>
        <w:left w:val="none" w:sz="0" w:space="0" w:color="auto"/>
        <w:bottom w:val="none" w:sz="0" w:space="0" w:color="auto"/>
        <w:right w:val="none" w:sz="0" w:space="0" w:color="auto"/>
      </w:divBdr>
      <w:divsChild>
        <w:div w:id="2000960306">
          <w:marLeft w:val="0"/>
          <w:marRight w:val="0"/>
          <w:marTop w:val="0"/>
          <w:marBottom w:val="0"/>
          <w:divBdr>
            <w:top w:val="none" w:sz="0" w:space="0" w:color="auto"/>
            <w:left w:val="none" w:sz="0" w:space="0" w:color="auto"/>
            <w:bottom w:val="none" w:sz="0" w:space="0" w:color="auto"/>
            <w:right w:val="none" w:sz="0" w:space="0" w:color="auto"/>
          </w:divBdr>
          <w:divsChild>
            <w:div w:id="418865913">
              <w:marLeft w:val="0"/>
              <w:marRight w:val="0"/>
              <w:marTop w:val="0"/>
              <w:marBottom w:val="150"/>
              <w:divBdr>
                <w:top w:val="none" w:sz="0" w:space="0" w:color="auto"/>
                <w:left w:val="none" w:sz="0" w:space="0" w:color="auto"/>
                <w:bottom w:val="none" w:sz="0" w:space="0" w:color="auto"/>
                <w:right w:val="none" w:sz="0" w:space="0" w:color="auto"/>
              </w:divBdr>
            </w:div>
            <w:div w:id="1872379811">
              <w:marLeft w:val="410"/>
              <w:marRight w:val="410"/>
              <w:marTop w:val="0"/>
              <w:marBottom w:val="0"/>
              <w:divBdr>
                <w:top w:val="none" w:sz="0" w:space="0" w:color="auto"/>
                <w:left w:val="none" w:sz="0" w:space="0" w:color="auto"/>
                <w:bottom w:val="none" w:sz="0" w:space="0" w:color="auto"/>
                <w:right w:val="none" w:sz="0" w:space="0" w:color="auto"/>
              </w:divBdr>
              <w:divsChild>
                <w:div w:id="258176445">
                  <w:marLeft w:val="393"/>
                  <w:marRight w:val="0"/>
                  <w:marTop w:val="0"/>
                  <w:marBottom w:val="0"/>
                  <w:divBdr>
                    <w:top w:val="none" w:sz="0" w:space="0" w:color="auto"/>
                    <w:left w:val="none" w:sz="0" w:space="0" w:color="auto"/>
                    <w:bottom w:val="none" w:sz="0" w:space="0" w:color="auto"/>
                    <w:right w:val="none" w:sz="0" w:space="0" w:color="auto"/>
                  </w:divBdr>
                </w:div>
              </w:divsChild>
            </w:div>
          </w:divsChild>
        </w:div>
        <w:div w:id="1478843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ompsoncoburn.com/people/susan-lorenc" TargetMode="External"/><Relationship Id="rId18" Type="http://schemas.openxmlformats.org/officeDocument/2006/relationships/hyperlink" Target="https://www.thompsoncoburn.com/title-ix-training-series-materials" TargetMode="External"/><Relationship Id="rId26" Type="http://schemas.openxmlformats.org/officeDocument/2006/relationships/hyperlink" Target="https://www.thompsoncoburn.com/docs/default-source/blog-documents/title-ix-training-slide-decks/2020-7-session-2-complaints.pdf?sfvrsn=8d895bea_2" TargetMode="External"/><Relationship Id="rId39" Type="http://schemas.openxmlformats.org/officeDocument/2006/relationships/hyperlink" Target="https://www.thompsoncoburn.com/people/scott-goldschmidt" TargetMode="External"/><Relationship Id="rId21" Type="http://schemas.openxmlformats.org/officeDocument/2006/relationships/hyperlink" Target="https://www.thompsoncoburn.com/people/aaron-lacey" TargetMode="External"/><Relationship Id="rId34" Type="http://schemas.openxmlformats.org/officeDocument/2006/relationships/hyperlink" Target="https://www.thompsoncoburn.com/people/booker-shaw" TargetMode="External"/><Relationship Id="rId42" Type="http://schemas.openxmlformats.org/officeDocument/2006/relationships/hyperlink" Target="https://www.thompsoncoburn.com/people/booker-shaw" TargetMode="External"/><Relationship Id="rId47" Type="http://schemas.openxmlformats.org/officeDocument/2006/relationships/hyperlink" Target="https://www.youtube.com/playlist?list=PLYrJQ3qn6Pn15VmKJDQ0lCDJeNLXhL4bm" TargetMode="External"/><Relationship Id="rId7" Type="http://schemas.openxmlformats.org/officeDocument/2006/relationships/hyperlink" Target="https://www.thompsoncoburn.com/people/aaron-lacey" TargetMode="External"/><Relationship Id="rId2" Type="http://schemas.openxmlformats.org/officeDocument/2006/relationships/styles" Target="styles.xml"/><Relationship Id="rId16" Type="http://schemas.openxmlformats.org/officeDocument/2006/relationships/hyperlink" Target="https://www.thompsoncoburn.com/people/aaron-lacey" TargetMode="External"/><Relationship Id="rId29" Type="http://schemas.openxmlformats.org/officeDocument/2006/relationships/hyperlink" Target="https://www.thompsoncoburn.com/docs/default-source/blog-documents/title-ix-training-slide-decks/2020-7-session-3-investigations.pdf?sfvrsn=e1895bea_2" TargetMode="External"/><Relationship Id="rId11" Type="http://schemas.openxmlformats.org/officeDocument/2006/relationships/hyperlink" Target="https://www.thompsoncoburn.com/people/scott-goldschmidt" TargetMode="External"/><Relationship Id="rId24" Type="http://schemas.openxmlformats.org/officeDocument/2006/relationships/hyperlink" Target="https://www.thompsoncoburn.com/people/scott-goldschmidt" TargetMode="External"/><Relationship Id="rId32" Type="http://schemas.openxmlformats.org/officeDocument/2006/relationships/hyperlink" Target="https://www.thompsoncoburn.com/people/aaron-lacey" TargetMode="External"/><Relationship Id="rId37" Type="http://schemas.openxmlformats.org/officeDocument/2006/relationships/hyperlink" Target="https://www.thompsoncoburn.com/docs/default-source/blog-documents/title-ix-training-slide-decks/2020-7-session-5-determinations.pdf?sfvrsn=c9895bea_2" TargetMode="External"/><Relationship Id="rId40" Type="http://schemas.openxmlformats.org/officeDocument/2006/relationships/hyperlink" Target="https://www.thompsoncoburn.com/people/aaron-lacey" TargetMode="External"/><Relationship Id="rId45" Type="http://schemas.openxmlformats.org/officeDocument/2006/relationships/hyperlink" Target="https://www.thompsoncoburn.com/docs/default-source/blog-documents/2020-5-20-title-ix-comparison.pdf?sfvrsn=318e5bea_4" TargetMode="External"/><Relationship Id="rId5" Type="http://schemas.openxmlformats.org/officeDocument/2006/relationships/hyperlink" Target="https://www.thompsoncoburn.com/people/booker-shaw" TargetMode="External"/><Relationship Id="rId15" Type="http://schemas.openxmlformats.org/officeDocument/2006/relationships/hyperlink" Target="https://www.thompsoncoburn.com/title-ix-training-series-materials" TargetMode="External"/><Relationship Id="rId23" Type="http://schemas.openxmlformats.org/officeDocument/2006/relationships/hyperlink" Target="https://www.thompsoncoburn.com/docs/default-source/blog-documents/title-ix-training-slide-decks/2020-7-session-1-fundamentals.pdf?sfvrsn=b9895bea_2" TargetMode="External"/><Relationship Id="rId28" Type="http://schemas.openxmlformats.org/officeDocument/2006/relationships/hyperlink" Target="https://www.thompsoncoburn.com/people/aaron-lacey" TargetMode="External"/><Relationship Id="rId36" Type="http://schemas.openxmlformats.org/officeDocument/2006/relationships/hyperlink" Target="https://www.thompsoncoburn.com/people/aaron-lacey" TargetMode="External"/><Relationship Id="rId49" Type="http://schemas.openxmlformats.org/officeDocument/2006/relationships/theme" Target="theme/theme1.xml"/><Relationship Id="rId10" Type="http://schemas.openxmlformats.org/officeDocument/2006/relationships/hyperlink" Target="https://www.youtube.com/playlist?list=PLYrJQ3qn6Pn15VmKJDQ0lCDJeNLXhL4bm" TargetMode="External"/><Relationship Id="rId19" Type="http://schemas.openxmlformats.org/officeDocument/2006/relationships/hyperlink" Target="https://www.thompsoncoburn.com/people/scott-goldschmidt" TargetMode="External"/><Relationship Id="rId31" Type="http://schemas.openxmlformats.org/officeDocument/2006/relationships/hyperlink" Target="https://www.thompsoncoburn.com/people/scott-goldschmidt" TargetMode="External"/><Relationship Id="rId44" Type="http://schemas.openxmlformats.org/officeDocument/2006/relationships/hyperlink" Target="https://www.thompsoncoburn.com/people/aaron-lacey" TargetMode="External"/><Relationship Id="rId4" Type="http://schemas.openxmlformats.org/officeDocument/2006/relationships/webSettings" Target="webSettings.xml"/><Relationship Id="rId9" Type="http://schemas.openxmlformats.org/officeDocument/2006/relationships/hyperlink" Target="https://www.federalregister.gov/documents/2020/05/19/2020-10512/nondiscrimination-on-the-basis-of-sex-in-education-programs-or-activities-receiving-federal" TargetMode="External"/><Relationship Id="rId14" Type="http://schemas.openxmlformats.org/officeDocument/2006/relationships/hyperlink" Target="https://www.thompsoncoburn.com/people/booker-shaw" TargetMode="External"/><Relationship Id="rId22" Type="http://schemas.openxmlformats.org/officeDocument/2006/relationships/hyperlink" Target="mailto:sgoldschmidt@thompsoncoburn.com" TargetMode="External"/><Relationship Id="rId27" Type="http://schemas.openxmlformats.org/officeDocument/2006/relationships/hyperlink" Target="https://www.thompsoncoburn.com/people/scott-goldschmidt" TargetMode="External"/><Relationship Id="rId30" Type="http://schemas.openxmlformats.org/officeDocument/2006/relationships/hyperlink" Target="https://www.thompsoncoburn.com/people/susan-lorenc" TargetMode="External"/><Relationship Id="rId35" Type="http://schemas.openxmlformats.org/officeDocument/2006/relationships/hyperlink" Target="https://www.thompsoncoburn.com/people/scott-goldschmidt" TargetMode="External"/><Relationship Id="rId43" Type="http://schemas.openxmlformats.org/officeDocument/2006/relationships/hyperlink" Target="https://www.thompsoncoburn.com/people/scott-goldschmidt" TargetMode="External"/><Relationship Id="rId48" Type="http://schemas.openxmlformats.org/officeDocument/2006/relationships/fontTable" Target="fontTable.xml"/><Relationship Id="rId8" Type="http://schemas.openxmlformats.org/officeDocument/2006/relationships/hyperlink" Target="https://www.thompsoncoburn.com/people/scott-goldschmidt" TargetMode="External"/><Relationship Id="rId3" Type="http://schemas.openxmlformats.org/officeDocument/2006/relationships/settings" Target="settings.xml"/><Relationship Id="rId12" Type="http://schemas.openxmlformats.org/officeDocument/2006/relationships/hyperlink" Target="https://www.thompsoncoburn.com/people/aaron-lacey" TargetMode="External"/><Relationship Id="rId17" Type="http://schemas.openxmlformats.org/officeDocument/2006/relationships/hyperlink" Target="https://www.thompsoncoburn.com/people/scott-goldschmidt" TargetMode="External"/><Relationship Id="rId25" Type="http://schemas.openxmlformats.org/officeDocument/2006/relationships/hyperlink" Target="https://www.thompsoncoburn.com/people/aaron-lacey" TargetMode="External"/><Relationship Id="rId33" Type="http://schemas.openxmlformats.org/officeDocument/2006/relationships/hyperlink" Target="https://www.thompsoncoburn.com/docs/default-source/blog-documents/title-ix-training-slide-decks/2020-7-session-4-hearings.pdf?sfvrsn=f5895bea_2" TargetMode="External"/><Relationship Id="rId38" Type="http://schemas.openxmlformats.org/officeDocument/2006/relationships/hyperlink" Target="https://www.thompsoncoburn.com/people/susan-lorenc" TargetMode="External"/><Relationship Id="rId46" Type="http://schemas.openxmlformats.org/officeDocument/2006/relationships/hyperlink" Target="https://www.thompsoncoburn.com/docs/default-source/blog-documents/2020-8-12-title-ix-compliance-checklist-final.pdf" TargetMode="External"/><Relationship Id="rId20" Type="http://schemas.openxmlformats.org/officeDocument/2006/relationships/hyperlink" Target="mailto:sgoldschmidt@thompsoncoburn.com" TargetMode="External"/><Relationship Id="rId41" Type="http://schemas.openxmlformats.org/officeDocument/2006/relationships/hyperlink" Target="https://www.thompsoncoburn.com/docs/default-source/blog-documents/title-ix-training-slide-decks/2020-7-session-6-appeals.pdf?sfvrsn=dd895bea_2" TargetMode="External"/><Relationship Id="rId1" Type="http://schemas.openxmlformats.org/officeDocument/2006/relationships/numbering" Target="numbering.xml"/><Relationship Id="rId6" Type="http://schemas.openxmlformats.org/officeDocument/2006/relationships/hyperlink" Target="https://www.thompsoncoburn.com/people/susan-lore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Foster</dc:creator>
  <cp:keywords/>
  <dc:description/>
  <cp:lastModifiedBy>Stan Foster</cp:lastModifiedBy>
  <cp:revision>3</cp:revision>
  <dcterms:created xsi:type="dcterms:W3CDTF">2023-11-28T15:22:00Z</dcterms:created>
  <dcterms:modified xsi:type="dcterms:W3CDTF">2023-11-28T15:31:00Z</dcterms:modified>
</cp:coreProperties>
</file>